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D4" w:rsidRDefault="001B75D4">
      <w:pPr>
        <w:pStyle w:val="Header"/>
        <w:tabs>
          <w:tab w:val="clear" w:pos="4320"/>
          <w:tab w:val="clear" w:pos="8640"/>
        </w:tabs>
        <w:rPr>
          <w:rFonts w:ascii="Palatino Linotype" w:hAnsi="Palatino Linotype"/>
          <w:b/>
          <w:bCs/>
          <w:color w:val="003366"/>
        </w:rPr>
      </w:pPr>
    </w:p>
    <w:p w:rsidR="001B75D4" w:rsidRPr="00893196" w:rsidRDefault="001B75D4" w:rsidP="00C8535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caps/>
          <w:color w:val="003366"/>
          <w:sz w:val="36"/>
        </w:rPr>
      </w:pPr>
      <w:r>
        <w:rPr>
          <w:rFonts w:ascii="Arial" w:hAnsi="Arial" w:cs="Arial"/>
          <w:b/>
          <w:bCs/>
          <w:caps/>
        </w:rPr>
        <w:t>For Immediate Release:</w:t>
      </w:r>
      <w:r>
        <w:rPr>
          <w:rFonts w:ascii="Arial" w:hAnsi="Arial" w:cs="Arial"/>
          <w:b/>
          <w:bCs/>
          <w:smallCaps/>
          <w:color w:val="003366"/>
        </w:rPr>
        <w:tab/>
      </w:r>
      <w:r>
        <w:rPr>
          <w:rFonts w:ascii="Arial" w:hAnsi="Arial" w:cs="Arial"/>
          <w:b/>
          <w:bCs/>
          <w:smallCaps/>
          <w:color w:val="003366"/>
        </w:rPr>
        <w:tab/>
      </w:r>
      <w:r>
        <w:rPr>
          <w:rFonts w:ascii="Arial" w:hAnsi="Arial" w:cs="Arial"/>
          <w:b/>
          <w:bCs/>
          <w:smallCaps/>
          <w:color w:val="003366"/>
        </w:rPr>
        <w:tab/>
      </w:r>
      <w:r>
        <w:rPr>
          <w:rFonts w:ascii="Arial" w:hAnsi="Arial" w:cs="Arial"/>
          <w:b/>
          <w:bCs/>
          <w:smallCaps/>
          <w:color w:val="003366"/>
        </w:rPr>
        <w:tab/>
      </w:r>
      <w:r>
        <w:rPr>
          <w:rFonts w:ascii="Arial" w:hAnsi="Arial" w:cs="Arial"/>
          <w:b/>
          <w:bCs/>
          <w:smallCaps/>
        </w:rPr>
        <w:t xml:space="preserve">        </w:t>
      </w:r>
      <w:r w:rsidR="002372FD">
        <w:rPr>
          <w:rFonts w:ascii="Arial" w:hAnsi="Arial" w:cs="Arial"/>
          <w:b/>
          <w:bCs/>
          <w:caps/>
        </w:rPr>
        <w:t>December 30</w:t>
      </w:r>
      <w:r w:rsidR="00C85359">
        <w:rPr>
          <w:rFonts w:ascii="Arial" w:hAnsi="Arial" w:cs="Arial"/>
          <w:b/>
          <w:bCs/>
          <w:caps/>
        </w:rPr>
        <w:t>, 2019</w:t>
      </w:r>
      <w:r>
        <w:rPr>
          <w:rFonts w:ascii="Arial" w:hAnsi="Arial" w:cs="Arial"/>
          <w:b/>
          <w:bCs/>
          <w:smallCaps/>
          <w:color w:val="003366"/>
        </w:rPr>
        <w:tab/>
      </w:r>
      <w:r>
        <w:rPr>
          <w:rFonts w:ascii="Arial" w:hAnsi="Arial" w:cs="Arial"/>
          <w:b/>
          <w:bCs/>
          <w:smallCaps/>
          <w:color w:val="003366"/>
        </w:rPr>
        <w:tab/>
      </w:r>
    </w:p>
    <w:p w:rsidR="00C85359" w:rsidRPr="0073739F" w:rsidRDefault="00C85359" w:rsidP="00C85359">
      <w:pPr>
        <w:pStyle w:val="NoSpacing1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you can reduce your risk for type 2 diabetes</w:t>
      </w:r>
    </w:p>
    <w:p w:rsidR="00C85359" w:rsidRPr="00D511C3" w:rsidRDefault="00C85359" w:rsidP="00C85359">
      <w:pPr>
        <w:pStyle w:val="NoSpacing1"/>
        <w:jc w:val="center"/>
        <w:rPr>
          <w:rFonts w:ascii="Arial" w:hAnsi="Arial" w:cs="Arial"/>
          <w:bCs/>
        </w:rPr>
      </w:pPr>
      <w:r w:rsidRPr="00D511C3">
        <w:rPr>
          <w:rFonts w:ascii="Arial" w:hAnsi="Arial" w:cs="Arial"/>
          <w:bCs/>
        </w:rPr>
        <w:t>Orientation for Diabetes Prevention</w:t>
      </w:r>
      <w:r w:rsidR="002372FD">
        <w:rPr>
          <w:rFonts w:ascii="Arial" w:hAnsi="Arial" w:cs="Arial"/>
          <w:bCs/>
        </w:rPr>
        <w:t xml:space="preserve"> Program scheduled for January 15</w:t>
      </w:r>
      <w:r>
        <w:rPr>
          <w:rFonts w:ascii="Arial" w:hAnsi="Arial" w:cs="Arial"/>
          <w:bCs/>
          <w:vertAlign w:val="superscript"/>
        </w:rPr>
        <w:t xml:space="preserve"> </w:t>
      </w:r>
      <w:r w:rsidRPr="00D511C3">
        <w:rPr>
          <w:rFonts w:ascii="Arial" w:hAnsi="Arial" w:cs="Arial"/>
          <w:bCs/>
        </w:rPr>
        <w:t xml:space="preserve"> </w:t>
      </w:r>
    </w:p>
    <w:p w:rsidR="00C85359" w:rsidRPr="00893196" w:rsidRDefault="00C85359" w:rsidP="00C85359">
      <w:pPr>
        <w:pStyle w:val="Header"/>
        <w:tabs>
          <w:tab w:val="clear" w:pos="4320"/>
          <w:tab w:val="clear" w:pos="8640"/>
        </w:tabs>
        <w:rPr>
          <w:rFonts w:ascii="Palatino Linotype" w:hAnsi="Palatino Linotype"/>
          <w:b/>
          <w:bCs/>
          <w:smallCaps/>
          <w:color w:val="003366"/>
          <w:sz w:val="28"/>
        </w:rPr>
      </w:pPr>
    </w:p>
    <w:p w:rsidR="00C85359" w:rsidRDefault="00C85359" w:rsidP="00C85359">
      <w:pPr>
        <w:pStyle w:val="NoSpacing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</w:rPr>
        <w:t>FREDERICK</w:t>
      </w:r>
      <w:r>
        <w:rPr>
          <w:rFonts w:ascii="Arial" w:hAnsi="Arial" w:cs="Arial"/>
          <w:b/>
          <w:bCs/>
          <w:smallCaps/>
        </w:rPr>
        <w:t xml:space="preserve">, MD </w:t>
      </w:r>
      <w:proofErr w:type="gramStart"/>
      <w:r>
        <w:rPr>
          <w:rFonts w:ascii="Arial" w:hAnsi="Arial" w:cs="Arial"/>
          <w:b/>
          <w:bCs/>
          <w:smallCaps/>
        </w:rPr>
        <w:t>--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</w:t>
      </w:r>
      <w:r w:rsidRPr="00D22CD6">
        <w:rPr>
          <w:rFonts w:ascii="Arial" w:hAnsi="Arial" w:cs="Arial"/>
          <w:sz w:val="23"/>
          <w:szCs w:val="23"/>
        </w:rPr>
        <w:t>The</w:t>
      </w:r>
      <w:proofErr w:type="gramEnd"/>
      <w:r w:rsidRPr="00D22CD6">
        <w:rPr>
          <w:rFonts w:ascii="Arial" w:hAnsi="Arial" w:cs="Arial"/>
          <w:sz w:val="23"/>
          <w:szCs w:val="23"/>
        </w:rPr>
        <w:t xml:space="preserve"> Frederick County Health Department is </w:t>
      </w:r>
      <w:r>
        <w:rPr>
          <w:rFonts w:ascii="Arial" w:hAnsi="Arial" w:cs="Arial"/>
          <w:sz w:val="23"/>
          <w:szCs w:val="23"/>
        </w:rPr>
        <w:t>accepting new participants into their next “Prevent T2”</w:t>
      </w:r>
      <w:r w:rsidRPr="00D22CD6">
        <w:rPr>
          <w:rFonts w:ascii="Arial" w:hAnsi="Arial" w:cs="Arial"/>
          <w:sz w:val="23"/>
          <w:szCs w:val="23"/>
        </w:rPr>
        <w:t xml:space="preserve"> diabetes prevention </w:t>
      </w:r>
      <w:r>
        <w:rPr>
          <w:rFonts w:ascii="Arial" w:hAnsi="Arial" w:cs="Arial"/>
          <w:sz w:val="23"/>
          <w:szCs w:val="23"/>
        </w:rPr>
        <w:t xml:space="preserve">class.  Those who are interested </w:t>
      </w:r>
      <w:r w:rsidRPr="00D22CD6">
        <w:rPr>
          <w:rFonts w:ascii="Arial" w:hAnsi="Arial" w:cs="Arial"/>
          <w:sz w:val="23"/>
          <w:szCs w:val="23"/>
        </w:rPr>
        <w:t>in making lifestyle changes to reduce their risk for type 2 diabetes</w:t>
      </w:r>
      <w:r w:rsidR="002372FD">
        <w:rPr>
          <w:rFonts w:ascii="Arial" w:hAnsi="Arial" w:cs="Arial"/>
          <w:sz w:val="23"/>
          <w:szCs w:val="23"/>
        </w:rPr>
        <w:t xml:space="preserve"> </w:t>
      </w:r>
      <w:proofErr w:type="gramStart"/>
      <w:r w:rsidR="002372FD">
        <w:rPr>
          <w:rFonts w:ascii="Arial" w:hAnsi="Arial" w:cs="Arial"/>
          <w:sz w:val="23"/>
          <w:szCs w:val="23"/>
        </w:rPr>
        <w:t xml:space="preserve">are </w:t>
      </w:r>
      <w:r>
        <w:rPr>
          <w:rFonts w:ascii="Arial" w:hAnsi="Arial" w:cs="Arial"/>
          <w:sz w:val="23"/>
          <w:szCs w:val="23"/>
        </w:rPr>
        <w:t>invited</w:t>
      </w:r>
      <w:proofErr w:type="gramEnd"/>
      <w:r>
        <w:rPr>
          <w:rFonts w:ascii="Arial" w:hAnsi="Arial" w:cs="Arial"/>
          <w:sz w:val="23"/>
          <w:szCs w:val="23"/>
        </w:rPr>
        <w:t xml:space="preserve"> to attend</w:t>
      </w:r>
      <w:r w:rsidRPr="00D24E7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 w:rsidRPr="00D24E7F">
        <w:rPr>
          <w:rFonts w:ascii="Arial" w:hAnsi="Arial" w:cs="Arial"/>
          <w:sz w:val="23"/>
          <w:szCs w:val="23"/>
        </w:rPr>
        <w:t xml:space="preserve">rientation on </w:t>
      </w:r>
      <w:r w:rsidR="002372FD">
        <w:rPr>
          <w:rFonts w:ascii="Arial" w:hAnsi="Arial" w:cs="Arial"/>
          <w:sz w:val="23"/>
          <w:szCs w:val="23"/>
        </w:rPr>
        <w:t>January 15, 2020 at 5:3</w:t>
      </w:r>
      <w:r>
        <w:rPr>
          <w:rFonts w:ascii="Arial" w:hAnsi="Arial" w:cs="Arial"/>
          <w:sz w:val="23"/>
          <w:szCs w:val="23"/>
        </w:rPr>
        <w:t>0 p</w:t>
      </w:r>
      <w:r w:rsidRPr="00D24E7F"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 </w:t>
      </w:r>
      <w:r w:rsidRPr="00D511C3">
        <w:rPr>
          <w:rFonts w:ascii="Arial" w:hAnsi="Arial" w:cs="Arial"/>
          <w:bCs/>
        </w:rPr>
        <w:t xml:space="preserve">at the </w:t>
      </w:r>
      <w:r w:rsidR="002372FD">
        <w:rPr>
          <w:rFonts w:ascii="Arial" w:hAnsi="Arial" w:cs="Arial"/>
          <w:sz w:val="23"/>
          <w:szCs w:val="23"/>
        </w:rPr>
        <w:t>Frederick County Health Department (entrance B).</w:t>
      </w:r>
    </w:p>
    <w:p w:rsidR="00C85359" w:rsidRPr="00F67580" w:rsidRDefault="00C85359" w:rsidP="00C85359">
      <w:pPr>
        <w:pStyle w:val="NoSpacing"/>
        <w:rPr>
          <w:rFonts w:ascii="Arial" w:hAnsi="Arial" w:cs="Arial"/>
          <w:sz w:val="16"/>
          <w:szCs w:val="16"/>
        </w:rPr>
      </w:pPr>
    </w:p>
    <w:p w:rsidR="00C85359" w:rsidRPr="00D24E7F" w:rsidRDefault="00C85359" w:rsidP="00C85359">
      <w:pPr>
        <w:pStyle w:val="NoSpacing"/>
        <w:spacing w:line="276" w:lineRule="auto"/>
        <w:rPr>
          <w:rFonts w:ascii="Arial" w:hAnsi="Arial" w:cs="Arial"/>
          <w:sz w:val="23"/>
          <w:szCs w:val="23"/>
        </w:rPr>
      </w:pPr>
      <w:r w:rsidRPr="00D22CD6">
        <w:rPr>
          <w:rFonts w:ascii="Arial" w:hAnsi="Arial" w:cs="Arial"/>
          <w:sz w:val="23"/>
          <w:szCs w:val="23"/>
        </w:rPr>
        <w:t xml:space="preserve">The </w:t>
      </w:r>
      <w:hyperlink r:id="rId6" w:history="1">
        <w:r w:rsidRPr="00D22CD6">
          <w:rPr>
            <w:rStyle w:val="Hyperlink"/>
            <w:rFonts w:ascii="Arial" w:hAnsi="Arial" w:cs="Arial"/>
            <w:sz w:val="23"/>
            <w:szCs w:val="23"/>
          </w:rPr>
          <w:t>PreventT2 program</w:t>
        </w:r>
      </w:hyperlink>
      <w:r w:rsidRPr="00D22CD6">
        <w:rPr>
          <w:rFonts w:ascii="Arial" w:hAnsi="Arial" w:cs="Arial"/>
          <w:sz w:val="23"/>
          <w:szCs w:val="23"/>
        </w:rPr>
        <w:t xml:space="preserve"> utilizes a trained lifestyle coach to guid</w:t>
      </w:r>
      <w:r>
        <w:rPr>
          <w:rFonts w:ascii="Arial" w:hAnsi="Arial" w:cs="Arial"/>
          <w:sz w:val="23"/>
          <w:szCs w:val="23"/>
        </w:rPr>
        <w:t>e groups of participants in</w:t>
      </w:r>
      <w:r w:rsidRPr="00D22CD6">
        <w:rPr>
          <w:rFonts w:ascii="Arial" w:hAnsi="Arial" w:cs="Arial"/>
          <w:sz w:val="23"/>
          <w:szCs w:val="23"/>
        </w:rPr>
        <w:t xml:space="preserve"> the development of new skills that will enable them to make lasting changes such as losing a modest amount of weight. </w:t>
      </w:r>
      <w:r>
        <w:rPr>
          <w:rFonts w:ascii="Arial" w:hAnsi="Arial" w:cs="Arial"/>
          <w:sz w:val="23"/>
          <w:szCs w:val="23"/>
        </w:rPr>
        <w:t xml:space="preserve"> </w:t>
      </w:r>
      <w:r w:rsidRPr="00D22CD6">
        <w:rPr>
          <w:rFonts w:ascii="Arial" w:hAnsi="Arial" w:cs="Arial"/>
          <w:sz w:val="23"/>
          <w:szCs w:val="23"/>
        </w:rPr>
        <w:t xml:space="preserve">Participants learn how to eat healthy, add physical activity to their routine, manage stress, </w:t>
      </w:r>
      <w:r>
        <w:rPr>
          <w:rFonts w:ascii="Arial" w:hAnsi="Arial" w:cs="Arial"/>
          <w:sz w:val="23"/>
          <w:szCs w:val="23"/>
        </w:rPr>
        <w:t xml:space="preserve">and </w:t>
      </w:r>
      <w:r w:rsidRPr="00D22CD6">
        <w:rPr>
          <w:rFonts w:ascii="Arial" w:hAnsi="Arial" w:cs="Arial"/>
          <w:sz w:val="23"/>
          <w:szCs w:val="23"/>
        </w:rPr>
        <w:t>stay motivat</w:t>
      </w:r>
      <w:r>
        <w:rPr>
          <w:rFonts w:ascii="Arial" w:hAnsi="Arial" w:cs="Arial"/>
          <w:sz w:val="23"/>
          <w:szCs w:val="23"/>
        </w:rPr>
        <w:t xml:space="preserve">ed.  </w:t>
      </w:r>
      <w:r w:rsidRPr="00D22CD6">
        <w:rPr>
          <w:rFonts w:ascii="Arial" w:hAnsi="Arial" w:cs="Arial"/>
          <w:sz w:val="23"/>
          <w:szCs w:val="23"/>
        </w:rPr>
        <w:t>Together, participants celebrate their successes and find ways to overcome obstacles.</w:t>
      </w:r>
    </w:p>
    <w:p w:rsidR="00C85359" w:rsidRPr="00F67580" w:rsidRDefault="00C85359" w:rsidP="00C85359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C85359" w:rsidRDefault="00C85359" w:rsidP="00C85359">
      <w:pPr>
        <w:pStyle w:val="NoSpacing"/>
        <w:spacing w:line="276" w:lineRule="auto"/>
        <w:rPr>
          <w:rStyle w:val="A6"/>
          <w:rFonts w:ascii="Arial" w:hAnsi="Arial" w:cs="Arial"/>
          <w:sz w:val="23"/>
          <w:szCs w:val="23"/>
        </w:rPr>
      </w:pPr>
      <w:r w:rsidRPr="00F67580">
        <w:rPr>
          <w:rStyle w:val="A6"/>
          <w:rFonts w:ascii="Arial" w:hAnsi="Arial" w:cs="Arial"/>
          <w:b/>
          <w:sz w:val="23"/>
          <w:szCs w:val="23"/>
        </w:rPr>
        <w:t>WHAT</w:t>
      </w:r>
      <w:r w:rsidRPr="00D22CD6">
        <w:rPr>
          <w:rStyle w:val="A6"/>
          <w:rFonts w:ascii="Arial" w:hAnsi="Arial" w:cs="Arial"/>
          <w:sz w:val="23"/>
          <w:szCs w:val="23"/>
        </w:rPr>
        <w:t>: The PreventT2 program is part of the National Diabetes Prevention Program, led by the CDC</w:t>
      </w:r>
      <w:r w:rsidRPr="00D22CD6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</w:t>
      </w:r>
      <w:r w:rsidRPr="00D22CD6">
        <w:rPr>
          <w:rFonts w:ascii="Arial" w:hAnsi="Arial" w:cs="Arial"/>
          <w:sz w:val="23"/>
          <w:szCs w:val="23"/>
        </w:rPr>
        <w:t xml:space="preserve"> PreventT2 is based on research which showed that individuals with prediabetes </w:t>
      </w:r>
      <w:proofErr w:type="gramStart"/>
      <w:r w:rsidRPr="00D22CD6">
        <w:rPr>
          <w:rFonts w:ascii="Arial" w:hAnsi="Arial" w:cs="Arial"/>
          <w:sz w:val="23"/>
          <w:szCs w:val="23"/>
        </w:rPr>
        <w:t>can</w:t>
      </w:r>
      <w:proofErr w:type="gramEnd"/>
      <w:r w:rsidRPr="00D22CD6">
        <w:rPr>
          <w:rFonts w:ascii="Arial" w:hAnsi="Arial" w:cs="Arial"/>
          <w:sz w:val="23"/>
          <w:szCs w:val="23"/>
        </w:rPr>
        <w:t xml:space="preserve"> reduce their risk for developing type 2 diabetes by 58% by losing 5 to 7 percent of their body weight (that’s 10 to 14 pounds for a 200-pound person)</w:t>
      </w:r>
      <w:r w:rsidRPr="00D22CD6">
        <w:rPr>
          <w:rStyle w:val="A6"/>
          <w:rFonts w:ascii="Arial" w:hAnsi="Arial" w:cs="Arial"/>
          <w:sz w:val="23"/>
          <w:szCs w:val="23"/>
        </w:rPr>
        <w:t xml:space="preserve">. </w:t>
      </w:r>
    </w:p>
    <w:p w:rsidR="00C85359" w:rsidRPr="00BA5E81" w:rsidRDefault="00C85359" w:rsidP="00C85359">
      <w:pPr>
        <w:pStyle w:val="NoSpacing"/>
        <w:spacing w:line="276" w:lineRule="auto"/>
        <w:rPr>
          <w:rStyle w:val="A6"/>
          <w:rFonts w:ascii="Arial" w:hAnsi="Arial" w:cs="Arial"/>
          <w:sz w:val="16"/>
          <w:szCs w:val="16"/>
        </w:rPr>
      </w:pPr>
    </w:p>
    <w:p w:rsidR="00C85359" w:rsidRDefault="00C85359" w:rsidP="00C85359">
      <w:pPr>
        <w:pStyle w:val="NoSpacing"/>
        <w:spacing w:line="276" w:lineRule="auto"/>
        <w:rPr>
          <w:rFonts w:ascii="Arial" w:hAnsi="Arial" w:cs="Arial"/>
          <w:sz w:val="23"/>
          <w:szCs w:val="23"/>
        </w:rPr>
      </w:pPr>
      <w:r w:rsidRPr="00D22CD6">
        <w:rPr>
          <w:rFonts w:ascii="Arial" w:hAnsi="Arial" w:cs="Arial"/>
          <w:sz w:val="23"/>
          <w:szCs w:val="23"/>
        </w:rPr>
        <w:t xml:space="preserve">PreventT2 groups meet for a year — weekly for approximately 4 months then once or twice a month to maintain healthy lifestyle changes. </w:t>
      </w:r>
    </w:p>
    <w:p w:rsidR="00C85359" w:rsidRDefault="00C85359" w:rsidP="00C85359">
      <w:pPr>
        <w:pStyle w:val="NoSpacing"/>
        <w:spacing w:line="276" w:lineRule="auto"/>
        <w:rPr>
          <w:rFonts w:ascii="Arial" w:hAnsi="Arial" w:cs="Arial"/>
          <w:sz w:val="23"/>
          <w:szCs w:val="23"/>
        </w:rPr>
      </w:pPr>
    </w:p>
    <w:p w:rsidR="00C85359" w:rsidRPr="00BA5E81" w:rsidRDefault="00C85359" w:rsidP="00C85359">
      <w:pPr>
        <w:pStyle w:val="NoSpacing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A5E81">
        <w:rPr>
          <w:rFonts w:ascii="Arial" w:hAnsi="Arial" w:cs="Arial"/>
          <w:sz w:val="20"/>
          <w:szCs w:val="20"/>
        </w:rPr>
        <w:t>--</w:t>
      </w:r>
      <w:proofErr w:type="gramStart"/>
      <w:r w:rsidRPr="00BA5E81">
        <w:rPr>
          <w:rFonts w:ascii="Arial" w:hAnsi="Arial" w:cs="Arial"/>
          <w:sz w:val="20"/>
          <w:szCs w:val="20"/>
        </w:rPr>
        <w:t>more</w:t>
      </w:r>
      <w:proofErr w:type="gramEnd"/>
      <w:r w:rsidRPr="00BA5E81">
        <w:rPr>
          <w:rFonts w:ascii="Arial" w:hAnsi="Arial" w:cs="Arial"/>
          <w:sz w:val="20"/>
          <w:szCs w:val="20"/>
        </w:rPr>
        <w:t>--</w:t>
      </w:r>
    </w:p>
    <w:p w:rsidR="00C85359" w:rsidRPr="00D22CD6" w:rsidRDefault="00C85359" w:rsidP="00C85359">
      <w:pPr>
        <w:pStyle w:val="NoSpacing"/>
        <w:spacing w:line="276" w:lineRule="auto"/>
        <w:rPr>
          <w:rFonts w:ascii="Arial" w:hAnsi="Arial" w:cs="Arial"/>
          <w:sz w:val="23"/>
          <w:szCs w:val="23"/>
        </w:rPr>
      </w:pPr>
    </w:p>
    <w:p w:rsidR="00C85359" w:rsidRDefault="00C85359" w:rsidP="00C85359">
      <w:pPr>
        <w:pStyle w:val="NoSpacing"/>
        <w:spacing w:line="276" w:lineRule="auto"/>
        <w:rPr>
          <w:rFonts w:ascii="Arial" w:hAnsi="Arial" w:cs="Arial"/>
          <w:b/>
          <w:sz w:val="23"/>
          <w:szCs w:val="23"/>
        </w:rPr>
      </w:pPr>
    </w:p>
    <w:p w:rsidR="00C85359" w:rsidRDefault="00C85359" w:rsidP="00C85359">
      <w:pPr>
        <w:pStyle w:val="NoSpacing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WHO: </w:t>
      </w:r>
      <w:r>
        <w:rPr>
          <w:rFonts w:ascii="Arial" w:hAnsi="Arial" w:cs="Arial"/>
          <w:sz w:val="23"/>
          <w:szCs w:val="23"/>
        </w:rPr>
        <w:t xml:space="preserve">Any </w:t>
      </w:r>
      <w:r w:rsidRPr="002724AE">
        <w:rPr>
          <w:rFonts w:ascii="Arial" w:hAnsi="Arial" w:cs="Arial"/>
          <w:sz w:val="23"/>
          <w:szCs w:val="23"/>
        </w:rPr>
        <w:t>adul</w:t>
      </w:r>
      <w:r w:rsidR="00893196">
        <w:rPr>
          <w:rFonts w:ascii="Arial" w:hAnsi="Arial" w:cs="Arial"/>
          <w:sz w:val="23"/>
          <w:szCs w:val="23"/>
        </w:rPr>
        <w:t xml:space="preserve">t who </w:t>
      </w:r>
      <w:proofErr w:type="gramStart"/>
      <w:r w:rsidR="00893196">
        <w:rPr>
          <w:rFonts w:ascii="Arial" w:hAnsi="Arial" w:cs="Arial"/>
          <w:sz w:val="23"/>
          <w:szCs w:val="23"/>
        </w:rPr>
        <w:t>is</w:t>
      </w:r>
      <w:r>
        <w:rPr>
          <w:rFonts w:ascii="Arial" w:hAnsi="Arial" w:cs="Arial"/>
          <w:sz w:val="23"/>
          <w:szCs w:val="23"/>
        </w:rPr>
        <w:t xml:space="preserve"> diagnosed</w:t>
      </w:r>
      <w:proofErr w:type="gramEnd"/>
      <w:r>
        <w:rPr>
          <w:rFonts w:ascii="Arial" w:hAnsi="Arial" w:cs="Arial"/>
          <w:sz w:val="23"/>
          <w:szCs w:val="23"/>
        </w:rPr>
        <w:t xml:space="preserve"> with prediabetes or is at risk for type 2 diabetes.  Unsure if </w:t>
      </w:r>
      <w:proofErr w:type="gramStart"/>
      <w:r>
        <w:rPr>
          <w:rFonts w:ascii="Arial" w:hAnsi="Arial" w:cs="Arial"/>
          <w:sz w:val="23"/>
          <w:szCs w:val="23"/>
        </w:rPr>
        <w:t>you’re</w:t>
      </w:r>
      <w:proofErr w:type="gramEnd"/>
      <w:r>
        <w:rPr>
          <w:rFonts w:ascii="Arial" w:hAnsi="Arial" w:cs="Arial"/>
          <w:sz w:val="23"/>
          <w:szCs w:val="23"/>
        </w:rPr>
        <w:t xml:space="preserve"> at risk?  Take this </w:t>
      </w:r>
      <w:hyperlink r:id="rId7" w:history="1">
        <w:r w:rsidRPr="002724AE">
          <w:rPr>
            <w:rStyle w:val="Hyperlink"/>
            <w:rFonts w:ascii="Arial" w:hAnsi="Arial" w:cs="Arial"/>
            <w:sz w:val="23"/>
            <w:szCs w:val="23"/>
          </w:rPr>
          <w:t>risk test</w:t>
        </w:r>
      </w:hyperlink>
      <w:r>
        <w:rPr>
          <w:rFonts w:ascii="Arial" w:hAnsi="Arial" w:cs="Arial"/>
          <w:sz w:val="23"/>
          <w:szCs w:val="23"/>
        </w:rPr>
        <w:t xml:space="preserve"> or </w:t>
      </w:r>
      <w:r w:rsidR="00932FD7">
        <w:rPr>
          <w:rFonts w:ascii="Arial" w:hAnsi="Arial" w:cs="Arial"/>
          <w:sz w:val="23"/>
          <w:szCs w:val="23"/>
        </w:rPr>
        <w:t xml:space="preserve">complete a screening by </w:t>
      </w:r>
      <w:r>
        <w:rPr>
          <w:rFonts w:ascii="Arial" w:hAnsi="Arial" w:cs="Arial"/>
          <w:sz w:val="23"/>
          <w:szCs w:val="23"/>
        </w:rPr>
        <w:t>call</w:t>
      </w:r>
      <w:r w:rsidR="00932FD7">
        <w:rPr>
          <w:rFonts w:ascii="Arial" w:hAnsi="Arial" w:cs="Arial"/>
          <w:sz w:val="23"/>
          <w:szCs w:val="23"/>
        </w:rPr>
        <w:t>ing</w:t>
      </w:r>
      <w:r w:rsidR="002372FD">
        <w:rPr>
          <w:rFonts w:ascii="Arial" w:hAnsi="Arial" w:cs="Arial"/>
          <w:sz w:val="23"/>
          <w:szCs w:val="23"/>
        </w:rPr>
        <w:t xml:space="preserve"> 301-600-1861</w:t>
      </w:r>
      <w:r>
        <w:rPr>
          <w:rFonts w:ascii="Arial" w:hAnsi="Arial" w:cs="Arial"/>
          <w:sz w:val="23"/>
          <w:szCs w:val="23"/>
        </w:rPr>
        <w:t xml:space="preserve">. </w:t>
      </w:r>
    </w:p>
    <w:p w:rsidR="00C85359" w:rsidRPr="002724AE" w:rsidRDefault="00C85359" w:rsidP="00C85359">
      <w:pPr>
        <w:pStyle w:val="NoSpacing"/>
        <w:spacing w:line="276" w:lineRule="auto"/>
        <w:rPr>
          <w:rFonts w:ascii="Arial" w:hAnsi="Arial" w:cs="Arial"/>
          <w:sz w:val="23"/>
          <w:szCs w:val="23"/>
        </w:rPr>
      </w:pPr>
    </w:p>
    <w:p w:rsidR="00C85359" w:rsidRDefault="00C85359" w:rsidP="00C85359">
      <w:pPr>
        <w:pStyle w:val="NoSpacing"/>
        <w:spacing w:line="276" w:lineRule="auto"/>
        <w:rPr>
          <w:rFonts w:ascii="Arial" w:hAnsi="Arial" w:cs="Arial"/>
          <w:sz w:val="23"/>
          <w:szCs w:val="23"/>
        </w:rPr>
      </w:pPr>
      <w:r w:rsidRPr="00BA5E81">
        <w:rPr>
          <w:rFonts w:ascii="Arial" w:hAnsi="Arial" w:cs="Arial"/>
          <w:b/>
          <w:sz w:val="23"/>
          <w:szCs w:val="23"/>
        </w:rPr>
        <w:t>WHERE</w:t>
      </w:r>
      <w:r>
        <w:rPr>
          <w:rFonts w:ascii="Arial" w:hAnsi="Arial" w:cs="Arial"/>
          <w:sz w:val="23"/>
          <w:szCs w:val="23"/>
        </w:rPr>
        <w:t xml:space="preserve">: </w:t>
      </w:r>
      <w:r w:rsidRPr="00D22CD6">
        <w:rPr>
          <w:rFonts w:ascii="Arial" w:hAnsi="Arial" w:cs="Arial"/>
          <w:sz w:val="23"/>
          <w:szCs w:val="23"/>
        </w:rPr>
        <w:t>Registration for Prevent T2 will take place at orientation</w:t>
      </w:r>
      <w:r w:rsidR="00932FD7">
        <w:rPr>
          <w:rFonts w:ascii="Arial" w:hAnsi="Arial" w:cs="Arial"/>
          <w:sz w:val="23"/>
          <w:szCs w:val="23"/>
        </w:rPr>
        <w:t xml:space="preserve">, </w:t>
      </w:r>
      <w:r w:rsidRPr="00D22CD6">
        <w:rPr>
          <w:rFonts w:ascii="Arial" w:hAnsi="Arial" w:cs="Arial"/>
          <w:sz w:val="23"/>
          <w:szCs w:val="23"/>
        </w:rPr>
        <w:t xml:space="preserve">at </w:t>
      </w:r>
      <w:r>
        <w:rPr>
          <w:rFonts w:ascii="Arial" w:hAnsi="Arial" w:cs="Arial"/>
          <w:sz w:val="23"/>
          <w:szCs w:val="23"/>
        </w:rPr>
        <w:t xml:space="preserve">the </w:t>
      </w:r>
      <w:r w:rsidR="002372FD">
        <w:rPr>
          <w:rFonts w:ascii="Arial" w:hAnsi="Arial" w:cs="Arial"/>
          <w:sz w:val="23"/>
          <w:szCs w:val="23"/>
        </w:rPr>
        <w:t xml:space="preserve">Frederick County Health Department, 350 </w:t>
      </w:r>
      <w:proofErr w:type="spellStart"/>
      <w:r w:rsidR="002372FD">
        <w:rPr>
          <w:rFonts w:ascii="Arial" w:hAnsi="Arial" w:cs="Arial"/>
          <w:sz w:val="23"/>
          <w:szCs w:val="23"/>
        </w:rPr>
        <w:t>Montevue</w:t>
      </w:r>
      <w:proofErr w:type="spellEnd"/>
      <w:r w:rsidR="002372FD">
        <w:rPr>
          <w:rFonts w:ascii="Arial" w:hAnsi="Arial" w:cs="Arial"/>
          <w:sz w:val="23"/>
          <w:szCs w:val="23"/>
        </w:rPr>
        <w:t xml:space="preserve"> Lane, Frederick, MD (use entrance B).</w:t>
      </w:r>
      <w:r w:rsidRPr="00D22CD6">
        <w:rPr>
          <w:rFonts w:ascii="Arial" w:hAnsi="Arial" w:cs="Arial"/>
          <w:sz w:val="23"/>
          <w:szCs w:val="23"/>
        </w:rPr>
        <w:t xml:space="preserve">  </w:t>
      </w:r>
    </w:p>
    <w:p w:rsidR="00C85359" w:rsidRPr="00D22CD6" w:rsidRDefault="00C85359" w:rsidP="00C85359">
      <w:pPr>
        <w:pStyle w:val="NoSpacing"/>
        <w:spacing w:line="276" w:lineRule="auto"/>
        <w:rPr>
          <w:rFonts w:ascii="Arial" w:hAnsi="Arial" w:cs="Arial"/>
          <w:sz w:val="23"/>
          <w:szCs w:val="23"/>
        </w:rPr>
      </w:pPr>
    </w:p>
    <w:p w:rsidR="00893196" w:rsidRDefault="00C85359" w:rsidP="00C85359">
      <w:pPr>
        <w:pStyle w:val="NoSpacing"/>
        <w:spacing w:line="276" w:lineRule="auto"/>
        <w:rPr>
          <w:rFonts w:ascii="Arial" w:hAnsi="Arial" w:cs="Arial"/>
          <w:sz w:val="23"/>
          <w:szCs w:val="23"/>
        </w:rPr>
      </w:pPr>
      <w:r w:rsidRPr="00BA5E81">
        <w:rPr>
          <w:rFonts w:ascii="Arial" w:hAnsi="Arial" w:cs="Arial"/>
          <w:b/>
          <w:sz w:val="23"/>
          <w:szCs w:val="23"/>
        </w:rPr>
        <w:t>WHEN</w:t>
      </w:r>
      <w:r w:rsidRPr="00D22CD6">
        <w:rPr>
          <w:rFonts w:ascii="Arial" w:hAnsi="Arial" w:cs="Arial"/>
          <w:sz w:val="23"/>
          <w:szCs w:val="23"/>
        </w:rPr>
        <w:t xml:space="preserve">: </w:t>
      </w:r>
      <w:r w:rsidR="002372FD">
        <w:rPr>
          <w:rFonts w:ascii="Arial" w:hAnsi="Arial" w:cs="Arial"/>
          <w:sz w:val="23"/>
          <w:szCs w:val="23"/>
        </w:rPr>
        <w:t>January 15, 2020 at 5:3</w:t>
      </w:r>
      <w:r>
        <w:rPr>
          <w:rFonts w:ascii="Arial" w:hAnsi="Arial" w:cs="Arial"/>
          <w:sz w:val="23"/>
          <w:szCs w:val="23"/>
        </w:rPr>
        <w:t>0 p</w:t>
      </w:r>
      <w:r w:rsidRPr="00D22CD6">
        <w:rPr>
          <w:rFonts w:ascii="Arial" w:hAnsi="Arial" w:cs="Arial"/>
          <w:sz w:val="23"/>
          <w:szCs w:val="23"/>
        </w:rPr>
        <w:t xml:space="preserve">m </w:t>
      </w:r>
    </w:p>
    <w:p w:rsidR="00C85359" w:rsidRDefault="00C85359" w:rsidP="00C85359">
      <w:pPr>
        <w:pStyle w:val="NoSpacing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893196" w:rsidRPr="00066361" w:rsidRDefault="00893196" w:rsidP="00893196">
      <w:pPr>
        <w:pStyle w:val="NoSpacing"/>
        <w:spacing w:line="276" w:lineRule="auto"/>
        <w:rPr>
          <w:rStyle w:val="A6"/>
          <w:rFonts w:ascii="Arial" w:hAnsi="Arial" w:cs="Arial"/>
          <w:color w:val="4F81BD" w:themeColor="accent1"/>
          <w:sz w:val="23"/>
          <w:szCs w:val="23"/>
          <w:vertAlign w:val="superscript"/>
        </w:rPr>
      </w:pPr>
      <w:r w:rsidRPr="006A2484">
        <w:rPr>
          <w:rFonts w:ascii="Arial" w:hAnsi="Arial" w:cs="Arial"/>
          <w:b/>
          <w:sz w:val="23"/>
          <w:szCs w:val="23"/>
        </w:rPr>
        <w:t>WHY</w:t>
      </w:r>
      <w:r w:rsidRPr="006A2484">
        <w:rPr>
          <w:rFonts w:ascii="Arial" w:hAnsi="Arial" w:cs="Arial"/>
          <w:sz w:val="23"/>
          <w:szCs w:val="23"/>
        </w:rPr>
        <w:t>: Prediabetes is a serious condition affecting approximate</w:t>
      </w:r>
      <w:r>
        <w:rPr>
          <w:rFonts w:ascii="Arial" w:hAnsi="Arial" w:cs="Arial"/>
          <w:sz w:val="23"/>
          <w:szCs w:val="23"/>
        </w:rPr>
        <w:t xml:space="preserve">ly 1 out of 3 American adults. </w:t>
      </w:r>
      <w:r w:rsidRPr="006A2484">
        <w:rPr>
          <w:rFonts w:ascii="Arial" w:hAnsi="Arial" w:cs="Arial"/>
          <w:sz w:val="23"/>
          <w:szCs w:val="23"/>
        </w:rPr>
        <w:t>One of the risk factors for type 2 diabetes is being overweight.  </w:t>
      </w:r>
      <w:r>
        <w:rPr>
          <w:rFonts w:ascii="Arial" w:hAnsi="Arial" w:cs="Arial"/>
          <w:sz w:val="23"/>
          <w:szCs w:val="23"/>
        </w:rPr>
        <w:t xml:space="preserve">According to the most recent data available, approximately two thirds </w:t>
      </w:r>
      <w:r w:rsidRPr="006A2484">
        <w:rPr>
          <w:rFonts w:ascii="Arial" w:hAnsi="Arial" w:cs="Arial"/>
          <w:sz w:val="23"/>
          <w:szCs w:val="23"/>
        </w:rPr>
        <w:t>of adults</w:t>
      </w:r>
      <w:r>
        <w:rPr>
          <w:rFonts w:ascii="Arial" w:hAnsi="Arial" w:cs="Arial"/>
          <w:sz w:val="23"/>
          <w:szCs w:val="23"/>
        </w:rPr>
        <w:t xml:space="preserve"> in Frederick County</w:t>
      </w:r>
      <w:r w:rsidRPr="006A2484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6A2484">
        <w:rPr>
          <w:rFonts w:ascii="Arial" w:hAnsi="Arial" w:cs="Arial"/>
          <w:sz w:val="23"/>
          <w:szCs w:val="23"/>
        </w:rPr>
        <w:t xml:space="preserve">are </w:t>
      </w:r>
      <w:r>
        <w:rPr>
          <w:rFonts w:ascii="Arial" w:hAnsi="Arial" w:cs="Arial"/>
          <w:sz w:val="23"/>
          <w:szCs w:val="23"/>
        </w:rPr>
        <w:t>classified</w:t>
      </w:r>
      <w:proofErr w:type="gramEnd"/>
      <w:r>
        <w:rPr>
          <w:rFonts w:ascii="Arial" w:hAnsi="Arial" w:cs="Arial"/>
          <w:sz w:val="23"/>
          <w:szCs w:val="23"/>
        </w:rPr>
        <w:t xml:space="preserve"> as </w:t>
      </w:r>
      <w:r w:rsidRPr="006A2484">
        <w:rPr>
          <w:rFonts w:ascii="Arial" w:hAnsi="Arial" w:cs="Arial"/>
          <w:sz w:val="23"/>
          <w:szCs w:val="23"/>
        </w:rPr>
        <w:t>overweight</w:t>
      </w:r>
      <w:r>
        <w:rPr>
          <w:rFonts w:ascii="Arial" w:hAnsi="Arial" w:cs="Arial"/>
          <w:sz w:val="23"/>
          <w:szCs w:val="23"/>
        </w:rPr>
        <w:t xml:space="preserve"> or obese.</w:t>
      </w:r>
      <w:r>
        <w:rPr>
          <w:rFonts w:ascii="Arial" w:hAnsi="Arial" w:cs="Arial"/>
          <w:sz w:val="23"/>
          <w:szCs w:val="23"/>
          <w:vertAlign w:val="superscript"/>
        </w:rPr>
        <w:t>1</w:t>
      </w:r>
    </w:p>
    <w:p w:rsidR="00C85359" w:rsidRDefault="00C85359" w:rsidP="00C85359">
      <w:pPr>
        <w:pStyle w:val="NoSpacing"/>
        <w:spacing w:line="276" w:lineRule="auto"/>
        <w:rPr>
          <w:rFonts w:ascii="Arial" w:hAnsi="Arial" w:cs="Arial"/>
          <w:sz w:val="23"/>
          <w:szCs w:val="23"/>
        </w:rPr>
      </w:pPr>
    </w:p>
    <w:p w:rsidR="00C85359" w:rsidRDefault="00C85359" w:rsidP="00C85359">
      <w:pPr>
        <w:pStyle w:val="NoSpacing"/>
        <w:spacing w:line="276" w:lineRule="auto"/>
        <w:rPr>
          <w:rFonts w:ascii="Arial" w:hAnsi="Arial" w:cs="Arial"/>
          <w:sz w:val="23"/>
          <w:szCs w:val="23"/>
        </w:rPr>
      </w:pPr>
      <w:r w:rsidRPr="00D22CD6">
        <w:rPr>
          <w:rFonts w:ascii="Arial" w:hAnsi="Arial" w:cs="Arial"/>
          <w:sz w:val="23"/>
          <w:szCs w:val="23"/>
        </w:rPr>
        <w:t>Space is limited.</w:t>
      </w:r>
      <w:r>
        <w:rPr>
          <w:rFonts w:ascii="Arial" w:hAnsi="Arial" w:cs="Arial"/>
          <w:sz w:val="23"/>
          <w:szCs w:val="23"/>
        </w:rPr>
        <w:t xml:space="preserve"> </w:t>
      </w:r>
      <w:r w:rsidRPr="00D22CD6">
        <w:rPr>
          <w:rFonts w:ascii="Arial" w:hAnsi="Arial" w:cs="Arial"/>
          <w:sz w:val="23"/>
          <w:szCs w:val="23"/>
        </w:rPr>
        <w:t xml:space="preserve"> To reserve your space</w:t>
      </w:r>
      <w:r w:rsidR="00893196">
        <w:rPr>
          <w:rFonts w:ascii="Arial" w:hAnsi="Arial" w:cs="Arial"/>
          <w:sz w:val="23"/>
          <w:szCs w:val="23"/>
        </w:rPr>
        <w:t xml:space="preserve"> and determine eligibility, contact</w:t>
      </w:r>
      <w:r w:rsidR="002372FD">
        <w:rPr>
          <w:rFonts w:ascii="Arial" w:hAnsi="Arial" w:cs="Arial"/>
          <w:sz w:val="23"/>
          <w:szCs w:val="23"/>
        </w:rPr>
        <w:t xml:space="preserve"> Angela Blair at 301-600-1861</w:t>
      </w:r>
      <w:r w:rsidR="00893196">
        <w:rPr>
          <w:rFonts w:ascii="Arial" w:hAnsi="Arial" w:cs="Arial"/>
          <w:sz w:val="23"/>
          <w:szCs w:val="23"/>
        </w:rPr>
        <w:t xml:space="preserve"> or </w:t>
      </w:r>
      <w:hyperlink r:id="rId8" w:history="1">
        <w:r w:rsidR="002372FD" w:rsidRPr="00F47D2D">
          <w:rPr>
            <w:rStyle w:val="Hyperlink"/>
            <w:rFonts w:ascii="Arial" w:hAnsi="Arial" w:cs="Arial"/>
            <w:sz w:val="23"/>
            <w:szCs w:val="23"/>
          </w:rPr>
          <w:t>ablair@FrederickCountyMD.gov</w:t>
        </w:r>
      </w:hyperlink>
      <w:r w:rsidR="00932FD7">
        <w:rPr>
          <w:rFonts w:ascii="Arial" w:hAnsi="Arial" w:cs="Arial"/>
          <w:sz w:val="23"/>
          <w:szCs w:val="23"/>
        </w:rPr>
        <w:t>.</w:t>
      </w:r>
      <w:r w:rsidR="00893196">
        <w:rPr>
          <w:rFonts w:ascii="Arial" w:hAnsi="Arial" w:cs="Arial"/>
          <w:sz w:val="23"/>
          <w:szCs w:val="23"/>
        </w:rPr>
        <w:t xml:space="preserve"> </w:t>
      </w:r>
    </w:p>
    <w:p w:rsidR="00C85359" w:rsidRPr="00D24E7F" w:rsidRDefault="00C85359" w:rsidP="00C85359">
      <w:pPr>
        <w:pStyle w:val="NoSpacing"/>
        <w:spacing w:line="276" w:lineRule="auto"/>
        <w:rPr>
          <w:rFonts w:ascii="Arial" w:hAnsi="Arial" w:cs="Arial"/>
          <w:sz w:val="16"/>
          <w:szCs w:val="16"/>
        </w:rPr>
      </w:pPr>
    </w:p>
    <w:p w:rsidR="00C85359" w:rsidRPr="00D22CD6" w:rsidRDefault="00C85359" w:rsidP="00C85359">
      <w:pPr>
        <w:pStyle w:val="NoSpacing"/>
        <w:spacing w:line="276" w:lineRule="auto"/>
        <w:rPr>
          <w:rFonts w:ascii="Arial" w:hAnsi="Arial" w:cs="Arial"/>
          <w:sz w:val="23"/>
          <w:szCs w:val="23"/>
        </w:rPr>
      </w:pPr>
      <w:r w:rsidRPr="00D22CD6">
        <w:rPr>
          <w:rFonts w:ascii="Arial" w:hAnsi="Arial" w:cs="Arial"/>
          <w:sz w:val="23"/>
          <w:szCs w:val="23"/>
        </w:rPr>
        <w:t xml:space="preserve">The PreventT2 program </w:t>
      </w:r>
      <w:proofErr w:type="gramStart"/>
      <w:r w:rsidRPr="00D22CD6">
        <w:rPr>
          <w:rFonts w:ascii="Arial" w:hAnsi="Arial" w:cs="Arial"/>
          <w:sz w:val="23"/>
          <w:szCs w:val="23"/>
        </w:rPr>
        <w:t>is offered</w:t>
      </w:r>
      <w:proofErr w:type="gramEnd"/>
      <w:r w:rsidRPr="00D22CD6">
        <w:rPr>
          <w:rFonts w:ascii="Arial" w:hAnsi="Arial" w:cs="Arial"/>
          <w:sz w:val="23"/>
          <w:szCs w:val="23"/>
        </w:rPr>
        <w:t xml:space="preserve"> at no cost by the Frederick County Health Department</w:t>
      </w:r>
      <w:r>
        <w:rPr>
          <w:rFonts w:ascii="Arial" w:hAnsi="Arial" w:cs="Arial"/>
          <w:sz w:val="23"/>
          <w:szCs w:val="23"/>
        </w:rPr>
        <w:t xml:space="preserve">.  </w:t>
      </w:r>
      <w:r w:rsidRPr="00D22CD6">
        <w:rPr>
          <w:rFonts w:ascii="Arial" w:hAnsi="Arial" w:cs="Arial"/>
          <w:sz w:val="23"/>
          <w:szCs w:val="23"/>
        </w:rPr>
        <w:t>For additional information about the program,</w:t>
      </w:r>
      <w:r>
        <w:rPr>
          <w:rFonts w:ascii="Arial" w:hAnsi="Arial" w:cs="Arial"/>
          <w:sz w:val="23"/>
          <w:szCs w:val="23"/>
        </w:rPr>
        <w:t xml:space="preserve"> visit </w:t>
      </w:r>
      <w:hyperlink r:id="rId9" w:history="1">
        <w:r w:rsidRPr="00056D40">
          <w:rPr>
            <w:rStyle w:val="Hyperlink"/>
            <w:rFonts w:ascii="Arial" w:hAnsi="Arial" w:cs="Arial"/>
            <w:sz w:val="23"/>
            <w:szCs w:val="23"/>
          </w:rPr>
          <w:t>http://health.frederickcountymd.gov/PreventT2</w:t>
        </w:r>
      </w:hyperlink>
      <w:r>
        <w:rPr>
          <w:rFonts w:ascii="Arial" w:hAnsi="Arial" w:cs="Arial"/>
          <w:sz w:val="23"/>
          <w:szCs w:val="23"/>
        </w:rPr>
        <w:t>.</w:t>
      </w:r>
    </w:p>
    <w:p w:rsidR="00C85359" w:rsidRPr="00ED6A07" w:rsidRDefault="00C85359" w:rsidP="00C85359">
      <w:pPr>
        <w:spacing w:line="360" w:lineRule="auto"/>
        <w:rPr>
          <w:rFonts w:ascii="Arial" w:hAnsi="Arial" w:cs="Arial"/>
          <w:sz w:val="23"/>
          <w:szCs w:val="23"/>
        </w:rPr>
      </w:pPr>
    </w:p>
    <w:p w:rsidR="001B75D4" w:rsidRDefault="001B75D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1B75D4" w:rsidRDefault="001B75D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697B89" w:rsidRDefault="001B75D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###</w:t>
      </w:r>
    </w:p>
    <w:p w:rsidR="00893196" w:rsidRDefault="0089319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</w:rPr>
      </w:pPr>
    </w:p>
    <w:p w:rsidR="00893196" w:rsidRDefault="0089319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</w:rPr>
      </w:pPr>
    </w:p>
    <w:p w:rsidR="00893196" w:rsidRDefault="00893196" w:rsidP="00893196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</w:pPr>
    </w:p>
    <w:p w:rsidR="00893196" w:rsidRDefault="00893196" w:rsidP="00893196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</w:pPr>
    </w:p>
    <w:p w:rsidR="00893196" w:rsidRDefault="00893196" w:rsidP="00893196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</w:pPr>
    </w:p>
    <w:p w:rsidR="00893196" w:rsidRDefault="00893196" w:rsidP="00893196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</w:pPr>
    </w:p>
    <w:p w:rsidR="00893196" w:rsidRDefault="00893196" w:rsidP="00893196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</w:pPr>
    </w:p>
    <w:p w:rsidR="00893196" w:rsidRDefault="00893196" w:rsidP="00893196">
      <w:pPr>
        <w:pStyle w:val="NormalWeb"/>
        <w:shd w:val="clear" w:color="auto" w:fill="FFFFFF"/>
        <w:spacing w:before="0" w:beforeAutospacing="0" w:after="90" w:afterAutospacing="0"/>
      </w:pPr>
    </w:p>
    <w:p w:rsidR="004F546C" w:rsidRDefault="004F546C" w:rsidP="00893196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893196" w:rsidRDefault="00893196" w:rsidP="00893196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</w:pPr>
    </w:p>
    <w:p w:rsidR="00893196" w:rsidRDefault="00893196" w:rsidP="00893196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</w:pPr>
    </w:p>
    <w:p w:rsidR="00893196" w:rsidRPr="00893196" w:rsidRDefault="00893196" w:rsidP="00893196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333333"/>
          <w:sz w:val="18"/>
          <w:szCs w:val="18"/>
        </w:rPr>
      </w:pPr>
      <w:proofErr w:type="gramStart"/>
      <w:r w:rsidRPr="0089319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1</w:t>
      </w:r>
      <w:proofErr w:type="gramEnd"/>
      <w:r w:rsidRPr="0089319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 </w:t>
      </w:r>
      <w:r w:rsidRPr="00893196">
        <w:rPr>
          <w:rFonts w:asciiTheme="minorHAnsi" w:hAnsiTheme="minorHAnsi" w:cstheme="minorHAnsi"/>
          <w:color w:val="000000"/>
          <w:sz w:val="18"/>
          <w:szCs w:val="18"/>
        </w:rPr>
        <w:t>Maryland Behavioral Risk Factor Surveillance System. (2017).</w:t>
      </w:r>
      <w:proofErr w:type="gramStart"/>
      <w:r w:rsidRPr="00893196">
        <w:rPr>
          <w:rFonts w:asciiTheme="minorHAnsi" w:hAnsiTheme="minorHAnsi" w:cstheme="minorHAnsi"/>
          <w:color w:val="000000"/>
          <w:sz w:val="18"/>
          <w:szCs w:val="18"/>
        </w:rPr>
        <w:t>  Retrieved</w:t>
      </w:r>
      <w:proofErr w:type="gramEnd"/>
      <w:r w:rsidRPr="00893196">
        <w:rPr>
          <w:rFonts w:asciiTheme="minorHAnsi" w:hAnsiTheme="minorHAnsi" w:cstheme="minorHAnsi"/>
          <w:color w:val="000000"/>
          <w:sz w:val="18"/>
          <w:szCs w:val="18"/>
        </w:rPr>
        <w:t xml:space="preserve"> from Maryland Department of Health website: </w:t>
      </w:r>
      <w:hyperlink r:id="rId10" w:history="1">
        <w:r w:rsidRPr="00893196">
          <w:rPr>
            <w:rStyle w:val="Hyperlink"/>
            <w:rFonts w:asciiTheme="minorHAnsi" w:hAnsiTheme="minorHAnsi" w:cstheme="minorHAnsi"/>
            <w:sz w:val="18"/>
            <w:szCs w:val="18"/>
          </w:rPr>
          <w:t>https://ibis.h</w:t>
        </w:r>
        <w:r w:rsidRPr="00893196">
          <w:rPr>
            <w:rStyle w:val="Hyperlink"/>
            <w:rFonts w:asciiTheme="minorHAnsi" w:hAnsiTheme="minorHAnsi" w:cstheme="minorHAnsi"/>
            <w:sz w:val="18"/>
            <w:szCs w:val="18"/>
          </w:rPr>
          <w:t>e</w:t>
        </w:r>
        <w:r w:rsidRPr="00893196">
          <w:rPr>
            <w:rStyle w:val="Hyperlink"/>
            <w:rFonts w:asciiTheme="minorHAnsi" w:hAnsiTheme="minorHAnsi" w:cstheme="minorHAnsi"/>
            <w:sz w:val="18"/>
            <w:szCs w:val="18"/>
          </w:rPr>
          <w:t>alth.maryland.gov/query/result/brfss17/BMI3Cat2AllCat/AgeAdj.html</w:t>
        </w:r>
      </w:hyperlink>
    </w:p>
    <w:p w:rsidR="00893196" w:rsidRDefault="0089319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</w:rPr>
      </w:pPr>
    </w:p>
    <w:sectPr w:rsidR="00893196" w:rsidSect="008553F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016" w:right="1728" w:bottom="1440" w:left="1728" w:header="288" w:footer="51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0D" w:rsidRDefault="006E500D">
      <w:r>
        <w:separator/>
      </w:r>
    </w:p>
  </w:endnote>
  <w:endnote w:type="continuationSeparator" w:id="0">
    <w:p w:rsidR="006E500D" w:rsidRDefault="006E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Medium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D4" w:rsidRDefault="00F677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75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5D4" w:rsidRDefault="001B7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D4" w:rsidRDefault="00F6771B">
    <w:pPr>
      <w:pStyle w:val="Footer"/>
      <w:framePr w:wrap="around" w:vAnchor="text" w:hAnchor="margin" w:xAlign="center" w:y="1"/>
      <w:rPr>
        <w:rStyle w:val="PageNumber"/>
        <w:color w:val="003366"/>
      </w:rPr>
    </w:pPr>
    <w:r>
      <w:rPr>
        <w:rStyle w:val="PageNumber"/>
        <w:color w:val="003366"/>
      </w:rPr>
      <w:fldChar w:fldCharType="begin"/>
    </w:r>
    <w:r w:rsidR="001B75D4">
      <w:rPr>
        <w:rStyle w:val="PageNumber"/>
        <w:color w:val="003366"/>
      </w:rPr>
      <w:instrText xml:space="preserve">PAGE  </w:instrText>
    </w:r>
    <w:r>
      <w:rPr>
        <w:rStyle w:val="PageNumber"/>
        <w:color w:val="003366"/>
      </w:rPr>
      <w:fldChar w:fldCharType="separate"/>
    </w:r>
    <w:r w:rsidR="004F546C">
      <w:rPr>
        <w:rStyle w:val="PageNumber"/>
        <w:noProof/>
        <w:color w:val="003366"/>
      </w:rPr>
      <w:t>2</w:t>
    </w:r>
    <w:r>
      <w:rPr>
        <w:rStyle w:val="PageNumber"/>
        <w:color w:val="003366"/>
      </w:rPr>
      <w:fldChar w:fldCharType="end"/>
    </w:r>
  </w:p>
  <w:p w:rsidR="001B75D4" w:rsidRDefault="001B75D4">
    <w:pPr>
      <w:pStyle w:val="Footer"/>
      <w:rPr>
        <w:rFonts w:ascii="Palatino Linotype" w:hAnsi="Palatino Linotype"/>
        <w:color w:val="003366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D4" w:rsidRDefault="00A85D1B">
    <w:pPr>
      <w:pStyle w:val="Footer"/>
      <w:jc w:val="center"/>
      <w:rPr>
        <w:rFonts w:ascii="Palatino Linotype" w:hAnsi="Palatino Linotype"/>
        <w:color w:val="003366"/>
        <w:sz w:val="20"/>
      </w:rPr>
    </w:pPr>
    <w:r w:rsidRPr="001B0FF3">
      <w:rPr>
        <w:noProof/>
      </w:rPr>
      <w:drawing>
        <wp:anchor distT="0" distB="0" distL="114300" distR="114300" simplePos="0" relativeHeight="251658752" behindDoc="0" locked="0" layoutInCell="1" allowOverlap="1" wp14:anchorId="673442AE" wp14:editId="5AEF0073">
          <wp:simplePos x="0" y="0"/>
          <wp:positionH relativeFrom="column">
            <wp:posOffset>-651053</wp:posOffset>
          </wp:positionH>
          <wp:positionV relativeFrom="paragraph">
            <wp:posOffset>174955</wp:posOffset>
          </wp:positionV>
          <wp:extent cx="869315" cy="869950"/>
          <wp:effectExtent l="0" t="0" r="0" b="0"/>
          <wp:wrapSquare wrapText="bothSides"/>
          <wp:docPr id="1" name="Picture 1" descr="U:\Logos\New MD DOH Logos\mdh_logo_sol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Logos\New MD DOH Logos\mdh_logo_solo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09" t="35919" r="36380" b="35465"/>
                  <a:stretch/>
                </pic:blipFill>
                <pic:spPr bwMode="auto">
                  <a:xfrm>
                    <a:off x="0" y="0"/>
                    <a:ext cx="869315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F546C">
      <w:rPr>
        <w:rFonts w:ascii="Palatino Linotype" w:hAnsi="Palatino Linotype"/>
        <w:noProof/>
        <w:color w:val="003366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406.35pt;margin-top:5.45pt;width:83.15pt;height:76.65pt;z-index:251661312;mso-position-horizontal-relative:text;mso-position-vertical-relative:text" stroked="f">
          <v:textbox>
            <w:txbxContent>
              <w:p w:rsidR="006E4EEA" w:rsidRDefault="006E4EEA" w:rsidP="006E4EEA">
                <w:r w:rsidRPr="00234F73">
                  <w:rPr>
                    <w:noProof/>
                  </w:rPr>
                  <w:drawing>
                    <wp:inline distT="0" distB="0" distL="0" distR="0">
                      <wp:extent cx="809625" cy="809625"/>
                      <wp:effectExtent l="19050" t="0" r="9525" b="0"/>
                      <wp:docPr id="7" name="Picture 1" descr="\\nt1s5\share\County Seals and Templates\Approved County Seals\New seals for JULY 1 2014\FCG-Seal-RGB-256px COLOR use for email 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\\nt1s5\share\County Seals and Templates\Approved County Seals\New seals for JULY 1 2014\FCG-Seal-RGB-256px COLOR use for email 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1051" cy="8110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1B75D4" w:rsidRDefault="001B75D4">
    <w:pPr>
      <w:pStyle w:val="Footer"/>
      <w:jc w:val="center"/>
    </w:pPr>
    <w:r>
      <w:rPr>
        <w:rFonts w:ascii="Palatino Linotype" w:hAnsi="Palatino Linotype"/>
        <w:color w:val="003366"/>
        <w:sz w:val="20"/>
      </w:rPr>
      <w:t xml:space="preserve"> Barbara A. Brookmyer, M.D., M.P.H.  </w:t>
    </w:r>
    <w:proofErr w:type="gramStart"/>
    <w:r>
      <w:rPr>
        <w:rFonts w:ascii="Palatino Linotype" w:hAnsi="Palatino Linotype"/>
        <w:color w:val="003366"/>
        <w:sz w:val="20"/>
      </w:rPr>
      <w:t>▪  Health</w:t>
    </w:r>
    <w:proofErr w:type="gramEnd"/>
    <w:r>
      <w:rPr>
        <w:rFonts w:ascii="Palatino Linotype" w:hAnsi="Palatino Linotype"/>
        <w:color w:val="003366"/>
        <w:sz w:val="20"/>
      </w:rPr>
      <w:t xml:space="preserve"> Officer</w:t>
    </w:r>
    <w:r>
      <w:rPr>
        <w:color w:val="003366"/>
      </w:rPr>
      <w:t xml:space="preserve"> </w:t>
    </w:r>
    <w:r w:rsidR="004F546C">
      <w:rPr>
        <w:color w:val="003366"/>
      </w:rPr>
      <w:pict>
        <v:rect id="_x0000_i1025" style="width:368.5pt;height:1.2pt;flip:y" o:hrpct="839" o:hralign="center" o:hrstd="t" o:hrnoshade="t" o:hr="t" fillcolor="#036" stroked="f"/>
      </w:pict>
    </w:r>
  </w:p>
  <w:p w:rsidR="001B75D4" w:rsidRDefault="001B75D4">
    <w:pPr>
      <w:pStyle w:val="Footer"/>
      <w:jc w:val="center"/>
      <w:rPr>
        <w:rFonts w:ascii="Palatino Linotype" w:hAnsi="Palatino Linotype"/>
        <w:color w:val="D91D09"/>
      </w:rPr>
    </w:pPr>
    <w:r>
      <w:rPr>
        <w:rFonts w:ascii="Palatino Linotype" w:hAnsi="Palatino Linotype"/>
        <w:color w:val="003366"/>
        <w:sz w:val="18"/>
      </w:rPr>
      <w:t xml:space="preserve">350 </w:t>
    </w:r>
    <w:proofErr w:type="spellStart"/>
    <w:r>
      <w:rPr>
        <w:rFonts w:ascii="Palatino Linotype" w:hAnsi="Palatino Linotype"/>
        <w:color w:val="003366"/>
        <w:sz w:val="18"/>
      </w:rPr>
      <w:t>Montevue</w:t>
    </w:r>
    <w:proofErr w:type="spellEnd"/>
    <w:r>
      <w:rPr>
        <w:rFonts w:ascii="Palatino Linotype" w:hAnsi="Palatino Linotype"/>
        <w:color w:val="003366"/>
        <w:sz w:val="18"/>
      </w:rPr>
      <w:t xml:space="preserve"> Lane  </w:t>
    </w:r>
    <w:r>
      <w:rPr>
        <w:rFonts w:ascii="Palatino Linotype" w:hAnsi="Palatino Linotype"/>
        <w:sz w:val="18"/>
      </w:rPr>
      <w:t xml:space="preserve"> </w:t>
    </w:r>
    <w:r>
      <w:rPr>
        <w:rFonts w:ascii="Palatino Linotype" w:hAnsi="Palatino Linotype"/>
        <w:color w:val="D91D09"/>
      </w:rPr>
      <w:t>▪</w:t>
    </w:r>
    <w:r>
      <w:rPr>
        <w:rFonts w:ascii="Palatino Linotype" w:hAnsi="Palatino Linotype"/>
        <w:color w:val="D91D09"/>
        <w:sz w:val="18"/>
      </w:rPr>
      <w:t xml:space="preserve">   </w:t>
    </w:r>
    <w:r>
      <w:rPr>
        <w:rFonts w:ascii="Palatino Linotype" w:hAnsi="Palatino Linotype"/>
        <w:color w:val="003366"/>
        <w:sz w:val="18"/>
      </w:rPr>
      <w:t xml:space="preserve">Frederick, MD  21702 </w:t>
    </w:r>
  </w:p>
  <w:p w:rsidR="001B75D4" w:rsidRDefault="001B75D4">
    <w:pPr>
      <w:pStyle w:val="Footer"/>
      <w:jc w:val="center"/>
      <w:rPr>
        <w:rFonts w:ascii="Palatino Linotype" w:hAnsi="Palatino Linotype"/>
        <w:color w:val="003366"/>
        <w:sz w:val="18"/>
      </w:rPr>
    </w:pPr>
    <w:r>
      <w:rPr>
        <w:rFonts w:ascii="Palatino Linotype" w:hAnsi="Palatino Linotype"/>
        <w:color w:val="003366"/>
        <w:sz w:val="18"/>
      </w:rPr>
      <w:t>Phone: 301-600-</w:t>
    </w:r>
    <w:proofErr w:type="gramStart"/>
    <w:r>
      <w:rPr>
        <w:rFonts w:ascii="Palatino Linotype" w:hAnsi="Palatino Linotype"/>
        <w:color w:val="003366"/>
        <w:sz w:val="18"/>
      </w:rPr>
      <w:t>1029</w:t>
    </w:r>
    <w:r>
      <w:rPr>
        <w:rFonts w:ascii="Palatino Linotype" w:hAnsi="Palatino Linotype"/>
        <w:sz w:val="18"/>
      </w:rPr>
      <w:t xml:space="preserve">  </w:t>
    </w:r>
    <w:r>
      <w:rPr>
        <w:rFonts w:ascii="Palatino Linotype" w:hAnsi="Palatino Linotype"/>
        <w:color w:val="D91D09"/>
      </w:rPr>
      <w:t>▪</w:t>
    </w:r>
    <w:proofErr w:type="gramEnd"/>
    <w:r>
      <w:rPr>
        <w:rFonts w:ascii="Palatino Linotype" w:hAnsi="Palatino Linotype"/>
        <w:color w:val="D91D09"/>
      </w:rPr>
      <w:t xml:space="preserve">  </w:t>
    </w:r>
    <w:r>
      <w:rPr>
        <w:rFonts w:ascii="Palatino Linotype" w:hAnsi="Palatino Linotype"/>
        <w:sz w:val="18"/>
      </w:rPr>
      <w:t xml:space="preserve"> </w:t>
    </w:r>
    <w:r>
      <w:rPr>
        <w:rFonts w:ascii="Palatino Linotype" w:hAnsi="Palatino Linotype"/>
        <w:color w:val="003366"/>
        <w:sz w:val="18"/>
      </w:rPr>
      <w:t xml:space="preserve">Fax: 301-600-3111   </w:t>
    </w:r>
    <w:r>
      <w:rPr>
        <w:rFonts w:ascii="Palatino Linotype" w:hAnsi="Palatino Linotype"/>
        <w:color w:val="D91D09"/>
      </w:rPr>
      <w:t xml:space="preserve">▪   </w:t>
    </w:r>
    <w:r>
      <w:rPr>
        <w:rFonts w:ascii="Palatino Linotype" w:hAnsi="Palatino Linotype"/>
        <w:color w:val="003366"/>
        <w:sz w:val="18"/>
      </w:rPr>
      <w:t>MD TTY: 1-800-735-2258</w:t>
    </w:r>
  </w:p>
  <w:p w:rsidR="001B75D4" w:rsidRDefault="001B7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0D" w:rsidRDefault="006E500D">
      <w:r>
        <w:separator/>
      </w:r>
    </w:p>
  </w:footnote>
  <w:footnote w:type="continuationSeparator" w:id="0">
    <w:p w:rsidR="006E500D" w:rsidRDefault="006E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D4" w:rsidRDefault="00A85D1B">
    <w:pPr>
      <w:pStyle w:val="Header"/>
      <w:jc w:val="right"/>
      <w:rPr>
        <w:color w:val="365F91"/>
      </w:rPr>
    </w:pPr>
    <w:r w:rsidRPr="001C3E10">
      <w:rPr>
        <w:noProof/>
      </w:rPr>
      <w:drawing>
        <wp:anchor distT="0" distB="0" distL="114300" distR="114300" simplePos="0" relativeHeight="251660800" behindDoc="0" locked="0" layoutInCell="1" allowOverlap="1" wp14:anchorId="0B1D9CE1" wp14:editId="0A182168">
          <wp:simplePos x="0" y="0"/>
          <wp:positionH relativeFrom="column">
            <wp:posOffset>-775411</wp:posOffset>
          </wp:positionH>
          <wp:positionV relativeFrom="paragraph">
            <wp:posOffset>50267</wp:posOffset>
          </wp:positionV>
          <wp:extent cx="1306195" cy="1089660"/>
          <wp:effectExtent l="0" t="0" r="0" b="0"/>
          <wp:wrapSquare wrapText="bothSides"/>
          <wp:docPr id="8" name="Picture 8" descr="U:\Logos\FCHD P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Logos\FCHD PH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75D4">
      <w:t xml:space="preserve"> </w:t>
    </w:r>
  </w:p>
  <w:p w:rsidR="001B75D4" w:rsidRDefault="001B75D4">
    <w:pPr>
      <w:pStyle w:val="Header"/>
    </w:pPr>
  </w:p>
  <w:p w:rsidR="001B75D4" w:rsidRDefault="001B75D4">
    <w:pPr>
      <w:pStyle w:val="Header"/>
    </w:pPr>
  </w:p>
  <w:p w:rsidR="001B75D4" w:rsidRDefault="001B75D4">
    <w:pPr>
      <w:pStyle w:val="Header"/>
    </w:pPr>
  </w:p>
  <w:p w:rsidR="001B75D4" w:rsidRDefault="001B75D4">
    <w:pPr>
      <w:pStyle w:val="Header"/>
    </w:pPr>
  </w:p>
  <w:p w:rsidR="00A85D1B" w:rsidRDefault="00A85D1B">
    <w:pPr>
      <w:pStyle w:val="Header"/>
    </w:pPr>
  </w:p>
  <w:p w:rsidR="00A85D1B" w:rsidRDefault="00A85D1B">
    <w:pPr>
      <w:pStyle w:val="Header"/>
    </w:pPr>
  </w:p>
  <w:p w:rsidR="00A85D1B" w:rsidRDefault="00A85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D4" w:rsidRDefault="006E4EEA">
    <w:pPr>
      <w:pStyle w:val="Header"/>
      <w:tabs>
        <w:tab w:val="clear" w:pos="4320"/>
        <w:tab w:val="clear" w:pos="8640"/>
      </w:tabs>
      <w:jc w:val="center"/>
    </w:pPr>
    <w:r>
      <w:rPr>
        <w:noProof/>
      </w:rPr>
      <w:drawing>
        <wp:inline distT="0" distB="0" distL="0" distR="0">
          <wp:extent cx="1885950" cy="1562100"/>
          <wp:effectExtent l="19050" t="0" r="0" b="0"/>
          <wp:docPr id="3" name="Picture 2" descr="FrederickCou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ederickCount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75D4" w:rsidRDefault="0079321E">
    <w:pPr>
      <w:pStyle w:val="Heading1"/>
      <w:rPr>
        <w:b/>
        <w:bCs/>
        <w:sz w:val="24"/>
      </w:rPr>
    </w:pPr>
    <w:r>
      <w:rPr>
        <w:rFonts w:ascii="Monotype Corsiva" w:hAnsi="Monotype Corsiva"/>
        <w:b/>
        <w:bCs/>
        <w:sz w:val="72"/>
      </w:rPr>
      <w:t>News Release</w:t>
    </w:r>
  </w:p>
  <w:p w:rsidR="001B75D4" w:rsidRDefault="00697B89" w:rsidP="00742734">
    <w:pPr>
      <w:pStyle w:val="Heading1"/>
      <w:tabs>
        <w:tab w:val="right" w:pos="8784"/>
      </w:tabs>
      <w:ind w:left="3960"/>
      <w:rPr>
        <w:b/>
        <w:bCs/>
        <w:sz w:val="24"/>
      </w:rPr>
    </w:pPr>
    <w:r>
      <w:rPr>
        <w:b/>
        <w:bCs/>
        <w:sz w:val="24"/>
      </w:rPr>
      <w:t xml:space="preserve">     </w:t>
    </w:r>
    <w:r w:rsidR="001B75D4">
      <w:rPr>
        <w:b/>
        <w:bCs/>
        <w:sz w:val="24"/>
      </w:rPr>
      <w:tab/>
      <w:t xml:space="preserve">CONTACT:  </w:t>
    </w:r>
    <w:r w:rsidR="00A21E97">
      <w:rPr>
        <w:b/>
        <w:bCs/>
        <w:sz w:val="24"/>
      </w:rPr>
      <w:t>Allison Young</w:t>
    </w:r>
  </w:p>
  <w:p w:rsidR="001B75D4" w:rsidRDefault="00967E7D">
    <w:pPr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Public Information </w:t>
    </w:r>
    <w:r w:rsidR="00A21E97">
      <w:rPr>
        <w:rFonts w:ascii="Arial" w:hAnsi="Arial" w:cs="Arial"/>
        <w:b/>
        <w:bCs/>
      </w:rPr>
      <w:t>Officer</w:t>
    </w:r>
  </w:p>
  <w:p w:rsidR="00742734" w:rsidRDefault="00A21E97">
    <w:pPr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Office of Planning, Assessment &amp; Communication</w:t>
    </w:r>
  </w:p>
  <w:p w:rsidR="001B75D4" w:rsidRDefault="001B75D4">
    <w:pPr>
      <w:ind w:left="7020" w:hanging="360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301-600-</w:t>
    </w:r>
    <w:r w:rsidR="0047687F">
      <w:rPr>
        <w:rFonts w:ascii="Arial" w:hAnsi="Arial" w:cs="Arial"/>
        <w:b/>
        <w:bCs/>
      </w:rPr>
      <w:t>3</w:t>
    </w:r>
    <w:r w:rsidR="00A21E97">
      <w:rPr>
        <w:rFonts w:ascii="Arial" w:hAnsi="Arial" w:cs="Arial"/>
        <w:b/>
        <w:bCs/>
      </w:rPr>
      <w:t>112</w:t>
    </w:r>
  </w:p>
  <w:p w:rsidR="002C1955" w:rsidRDefault="001B75D4" w:rsidP="006E500D">
    <w:pPr>
      <w:pStyle w:val="Heading2"/>
      <w:rPr>
        <w:rFonts w:ascii="Arial" w:hAnsi="Arial"/>
        <w:sz w:val="24"/>
      </w:rPr>
    </w:pPr>
    <w:r>
      <w:rPr>
        <w:rFonts w:ascii="Arial" w:hAnsi="Arial"/>
        <w:sz w:val="24"/>
      </w:rPr>
      <w:t xml:space="preserve"> TTY:  </w:t>
    </w:r>
    <w:r w:rsidR="002C1955">
      <w:rPr>
        <w:rFonts w:ascii="Arial" w:hAnsi="Arial"/>
        <w:sz w:val="24"/>
      </w:rPr>
      <w:t>800-735-2258</w:t>
    </w:r>
  </w:p>
  <w:p w:rsidR="001B75D4" w:rsidRDefault="001B75D4" w:rsidP="006E500D">
    <w:pPr>
      <w:pStyle w:val="Heading2"/>
      <w:rPr>
        <w:rFonts w:ascii="Monotype Corsiva" w:hAnsi="Monotype Corsiva"/>
        <w:sz w:val="72"/>
      </w:rPr>
    </w:pPr>
    <w:r>
      <w:rPr>
        <w:rFonts w:ascii="Arial" w:hAnsi="Arial"/>
      </w:rPr>
      <w:t xml:space="preserve">                                          </w:t>
    </w:r>
    <w:r>
      <w:rPr>
        <w:rFonts w:ascii="Arial" w:hAnsi="Arial"/>
      </w:rPr>
      <w:tab/>
    </w:r>
    <w:r w:rsidR="00A21E97">
      <w:rPr>
        <w:rFonts w:ascii="Arial" w:hAnsi="Arial"/>
      </w:rPr>
      <w:t>AYoung</w:t>
    </w:r>
    <w:r w:rsidR="0047687F">
      <w:rPr>
        <w:rFonts w:ascii="Arial" w:hAnsi="Arial"/>
      </w:rPr>
      <w:t>1</w:t>
    </w:r>
    <w:r w:rsidR="006E500D" w:rsidRPr="006E500D">
      <w:rPr>
        <w:rFonts w:ascii="Arial" w:hAnsi="Arial"/>
        <w:bCs w:val="0"/>
      </w:rPr>
      <w:t>@FrederickCountyMD.gov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026"/>
    <w:rsid w:val="000109F8"/>
    <w:rsid w:val="00186B48"/>
    <w:rsid w:val="001B75D4"/>
    <w:rsid w:val="002372FD"/>
    <w:rsid w:val="002C1955"/>
    <w:rsid w:val="003833DF"/>
    <w:rsid w:val="003C7AE9"/>
    <w:rsid w:val="004069B0"/>
    <w:rsid w:val="0047687F"/>
    <w:rsid w:val="004B5B02"/>
    <w:rsid w:val="004D3492"/>
    <w:rsid w:val="004F546C"/>
    <w:rsid w:val="005A6026"/>
    <w:rsid w:val="00697B89"/>
    <w:rsid w:val="006E4EEA"/>
    <w:rsid w:val="006E500D"/>
    <w:rsid w:val="00726438"/>
    <w:rsid w:val="00742734"/>
    <w:rsid w:val="0079321E"/>
    <w:rsid w:val="007E4158"/>
    <w:rsid w:val="008553F2"/>
    <w:rsid w:val="00893196"/>
    <w:rsid w:val="00901155"/>
    <w:rsid w:val="00932FD7"/>
    <w:rsid w:val="00967E7D"/>
    <w:rsid w:val="00A05217"/>
    <w:rsid w:val="00A21E97"/>
    <w:rsid w:val="00A2228C"/>
    <w:rsid w:val="00A77BFC"/>
    <w:rsid w:val="00A85D1B"/>
    <w:rsid w:val="00B55420"/>
    <w:rsid w:val="00B96078"/>
    <w:rsid w:val="00C85359"/>
    <w:rsid w:val="00F65A83"/>
    <w:rsid w:val="00F6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31F8C96F"/>
  <w15:docId w15:val="{215BFBF8-81DA-4D02-A7AC-85761C47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3F2"/>
    <w:rPr>
      <w:sz w:val="24"/>
      <w:szCs w:val="24"/>
    </w:rPr>
  </w:style>
  <w:style w:type="paragraph" w:styleId="Heading1">
    <w:name w:val="heading 1"/>
    <w:basedOn w:val="Normal"/>
    <w:next w:val="Normal"/>
    <w:qFormat/>
    <w:rsid w:val="008553F2"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8553F2"/>
    <w:pPr>
      <w:keepNext/>
      <w:jc w:val="right"/>
      <w:outlineLvl w:val="1"/>
    </w:pPr>
    <w:rPr>
      <w:rFonts w:ascii="Palatino Linotype" w:hAnsi="Palatino Linotype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553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553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8553F2"/>
    <w:rPr>
      <w:sz w:val="24"/>
      <w:szCs w:val="24"/>
    </w:rPr>
  </w:style>
  <w:style w:type="character" w:styleId="PageNumber">
    <w:name w:val="page number"/>
    <w:basedOn w:val="DefaultParagraphFont"/>
    <w:semiHidden/>
    <w:rsid w:val="008553F2"/>
  </w:style>
  <w:style w:type="paragraph" w:styleId="BalloonText">
    <w:name w:val="Balloon Text"/>
    <w:basedOn w:val="Normal"/>
    <w:semiHidden/>
    <w:unhideWhenUsed/>
    <w:rsid w:val="00855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8553F2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qFormat/>
    <w:rsid w:val="00C85359"/>
    <w:rPr>
      <w:sz w:val="24"/>
      <w:szCs w:val="24"/>
    </w:rPr>
  </w:style>
  <w:style w:type="character" w:customStyle="1" w:styleId="A6">
    <w:name w:val="A6"/>
    <w:uiPriority w:val="99"/>
    <w:rsid w:val="00C85359"/>
    <w:rPr>
      <w:rFonts w:cs="Futura Std Medium"/>
      <w:color w:val="000000"/>
      <w:sz w:val="30"/>
      <w:szCs w:val="30"/>
    </w:rPr>
  </w:style>
  <w:style w:type="paragraph" w:styleId="NoSpacing">
    <w:name w:val="No Spacing"/>
    <w:uiPriority w:val="1"/>
    <w:qFormat/>
    <w:rsid w:val="00C8535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535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5359"/>
    <w:pPr>
      <w:spacing w:before="100" w:beforeAutospacing="1" w:after="100" w:afterAutospacing="1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C8535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931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lair@FrederickCountyMD.gov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dc.gov/prediabetes/takethetest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d-frederickcountyhealth.civicplus.com/499/PreventT2-Diabetes-Prevention-Progra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yperlink" Target="https://ibis.health.maryland.gov/query/result/brfss17/BMI3Cat2AllCat/AgeAdj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ealth.frederickcountymd.gov/PreventT2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Goverment, IIT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dslatter</dc:creator>
  <cp:lastModifiedBy>Blair, Angela (Health/CHS)</cp:lastModifiedBy>
  <cp:revision>9</cp:revision>
  <cp:lastPrinted>2008-02-07T12:33:00Z</cp:lastPrinted>
  <dcterms:created xsi:type="dcterms:W3CDTF">2016-08-10T20:07:00Z</dcterms:created>
  <dcterms:modified xsi:type="dcterms:W3CDTF">2019-12-23T19:21:00Z</dcterms:modified>
</cp:coreProperties>
</file>